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9A" w:rsidRPr="009B0CFA" w:rsidRDefault="007F6655" w:rsidP="00167ACC">
      <w:pPr>
        <w:spacing w:afterLines="50" w:after="120" w:line="440" w:lineRule="exact"/>
        <w:jc w:val="center"/>
        <w:rPr>
          <w:rFonts w:ascii="Times New Roman" w:eastAsia="宋体" w:hAnsi="Times New Roman" w:cs="Times New Roman"/>
          <w:b/>
          <w:kern w:val="2"/>
          <w:sz w:val="36"/>
          <w:szCs w:val="24"/>
        </w:rPr>
      </w:pPr>
      <w:r w:rsidRPr="009B0CFA">
        <w:rPr>
          <w:rFonts w:ascii="Times New Roman" w:eastAsia="宋体" w:hAnsi="Times New Roman" w:cs="Times New Roman"/>
          <w:b/>
          <w:kern w:val="2"/>
          <w:sz w:val="36"/>
          <w:szCs w:val="24"/>
        </w:rPr>
        <w:t>电热板采购需求</w:t>
      </w:r>
    </w:p>
    <w:p w:rsidR="00BA049E" w:rsidRDefault="007F6655" w:rsidP="00BA049E">
      <w:pPr>
        <w:widowControl/>
        <w:spacing w:afterLines="50" w:after="120" w:line="440" w:lineRule="exact"/>
        <w:ind w:firstLineChars="200" w:firstLine="480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经前期调研，</w:t>
      </w:r>
      <w:r w:rsidR="006A3AA2">
        <w:rPr>
          <w:rFonts w:ascii="Times New Roman" w:eastAsia="宋体" w:hAnsi="Times New Roman" w:cs="Times New Roman" w:hint="eastAsia"/>
          <w:kern w:val="2"/>
          <w:sz w:val="24"/>
          <w:szCs w:val="24"/>
        </w:rPr>
        <w:t>本项目采购电热板</w:t>
      </w: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参考品牌型号为</w:t>
      </w: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Analab</w:t>
      </w:r>
      <w:r w:rsidRPr="00B3470E">
        <w:rPr>
          <w:rFonts w:ascii="Times New Roman" w:eastAsia="宋体" w:hAnsi="Times New Roman" w:cs="Times New Roman"/>
          <w:kern w:val="2"/>
          <w:sz w:val="24"/>
          <w:szCs w:val="24"/>
        </w:rPr>
        <w:t>A3P-I16A</w:t>
      </w:r>
      <w:r w:rsidRPr="00B3470E">
        <w:rPr>
          <w:rFonts w:ascii="Times New Roman" w:eastAsia="宋体" w:hAnsi="Times New Roman" w:cs="Times New Roman"/>
          <w:kern w:val="2"/>
          <w:sz w:val="24"/>
          <w:szCs w:val="24"/>
        </w:rPr>
        <w:t>搭配两套</w:t>
      </w: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石墨架子</w:t>
      </w: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(</w:t>
      </w: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适用于</w:t>
      </w: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7ml</w:t>
      </w: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消解罐</w:t>
      </w:r>
      <w:r w:rsidR="006A3AA2">
        <w:rPr>
          <w:rFonts w:ascii="Times New Roman" w:eastAsia="宋体" w:hAnsi="Times New Roman" w:cs="Times New Roman" w:hint="eastAsia"/>
          <w:kern w:val="2"/>
          <w:sz w:val="24"/>
          <w:szCs w:val="24"/>
        </w:rPr>
        <w:t>)</w:t>
      </w: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面积</w:t>
      </w: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A4</w:t>
      </w:r>
      <w:r w:rsidRPr="00B3470E">
        <w:rPr>
          <w:rFonts w:ascii="Times New Roman" w:eastAsia="宋体" w:hAnsi="Times New Roman" w:cs="Times New Roman" w:hint="eastAsia"/>
          <w:kern w:val="2"/>
          <w:sz w:val="24"/>
          <w:szCs w:val="24"/>
        </w:rPr>
        <w:t>，可以提供其他品牌或更高端型号，具体功能性指标不低于如下标准：</w:t>
      </w:r>
      <w:r w:rsidRPr="00B3470E">
        <w:rPr>
          <w:rFonts w:ascii="Times New Roman" w:eastAsia="宋体" w:hAnsi="Times New Roman" w:cs="Times New Roman"/>
          <w:kern w:val="2"/>
          <w:sz w:val="24"/>
          <w:szCs w:val="24"/>
        </w:rPr>
        <w:t>技术指标要求</w:t>
      </w:r>
      <w:r w:rsidR="006A3AA2">
        <w:rPr>
          <w:rFonts w:ascii="Times New Roman" w:eastAsia="宋体" w:hAnsi="Times New Roman" w:cs="Times New Roman" w:hint="eastAsia"/>
          <w:kern w:val="2"/>
          <w:sz w:val="24"/>
          <w:szCs w:val="24"/>
        </w:rPr>
        <w:t>：</w:t>
      </w:r>
    </w:p>
    <w:p w:rsidR="00D9389A" w:rsidRPr="00BA049E" w:rsidRDefault="007F6655" w:rsidP="00BA049E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40DCD">
        <w:rPr>
          <w:rFonts w:ascii="Times New Roman" w:eastAsia="宋体" w:hAnsi="Times New Roman" w:cs="Times New Roman"/>
          <w:sz w:val="24"/>
          <w:szCs w:val="24"/>
        </w:rPr>
        <w:t>尺寸：</w:t>
      </w:r>
      <w:r w:rsidRPr="00140DCD">
        <w:rPr>
          <w:rFonts w:ascii="Times New Roman" w:eastAsia="宋体" w:hAnsi="Times New Roman" w:cs="Times New Roman"/>
          <w:sz w:val="24"/>
          <w:szCs w:val="24"/>
        </w:rPr>
        <w:t>420*330*45mm</w:t>
      </w:r>
      <w:r w:rsidR="00140DCD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D9389A" w:rsidRPr="00140DCD" w:rsidRDefault="007F6655" w:rsidP="00140DC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40DCD">
        <w:rPr>
          <w:rFonts w:ascii="Times New Roman" w:eastAsia="宋体" w:hAnsi="Times New Roman" w:cs="Times New Roman"/>
          <w:sz w:val="24"/>
          <w:szCs w:val="24"/>
        </w:rPr>
        <w:t>材质：高纯石墨板红色</w:t>
      </w:r>
      <w:r w:rsidRPr="00140DCD">
        <w:rPr>
          <w:rFonts w:ascii="Times New Roman" w:eastAsia="宋体" w:hAnsi="Times New Roman" w:cs="Times New Roman"/>
          <w:sz w:val="24"/>
          <w:szCs w:val="24"/>
        </w:rPr>
        <w:t>PFA</w:t>
      </w:r>
      <w:r w:rsidRPr="00140DCD">
        <w:rPr>
          <w:rFonts w:ascii="Times New Roman" w:eastAsia="宋体" w:hAnsi="Times New Roman" w:cs="Times New Roman"/>
          <w:sz w:val="24"/>
          <w:szCs w:val="24"/>
        </w:rPr>
        <w:t>涂层，加热温度</w:t>
      </w:r>
      <w:r w:rsidRPr="00140DCD">
        <w:rPr>
          <w:rFonts w:ascii="Times New Roman" w:eastAsia="宋体" w:hAnsi="Times New Roman" w:cs="Times New Roman"/>
          <w:sz w:val="24"/>
          <w:szCs w:val="24"/>
        </w:rPr>
        <w:t>0-250</w:t>
      </w:r>
      <w:r w:rsidRPr="00140DCD">
        <w:rPr>
          <w:rFonts w:ascii="Times New Roman" w:eastAsia="宋体" w:hAnsi="Times New Roman" w:cs="Times New Roman"/>
          <w:sz w:val="24"/>
          <w:szCs w:val="24"/>
        </w:rPr>
        <w:t>度，可以持续加热并保持涂层无损坏</w:t>
      </w:r>
      <w:r w:rsidR="00140DCD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D9389A" w:rsidRPr="00140DCD" w:rsidRDefault="007F6655" w:rsidP="00140DC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40DCD">
        <w:rPr>
          <w:rFonts w:ascii="Times New Roman" w:eastAsia="宋体" w:hAnsi="Times New Roman" w:cs="Times New Roman"/>
          <w:sz w:val="24"/>
          <w:szCs w:val="24"/>
        </w:rPr>
        <w:t>温差：表面温差</w:t>
      </w:r>
      <w:r w:rsidRPr="00140DCD">
        <w:rPr>
          <w:rFonts w:ascii="Times New Roman" w:eastAsia="宋体" w:hAnsi="Times New Roman" w:cs="Times New Roman"/>
          <w:sz w:val="24"/>
          <w:szCs w:val="24"/>
        </w:rPr>
        <w:t>±2</w:t>
      </w:r>
      <w:r w:rsidRPr="00140DCD">
        <w:rPr>
          <w:rFonts w:ascii="Times New Roman" w:eastAsia="宋体" w:hAnsi="Times New Roman" w:cs="Times New Roman"/>
          <w:sz w:val="24"/>
          <w:szCs w:val="24"/>
        </w:rPr>
        <w:t>度</w:t>
      </w:r>
      <w:r w:rsidR="00140DCD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D9389A" w:rsidRPr="00140DCD" w:rsidRDefault="007F6655" w:rsidP="00140DC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40DCD">
        <w:rPr>
          <w:rFonts w:ascii="Times New Roman" w:eastAsia="宋体" w:hAnsi="Times New Roman" w:cs="Times New Roman"/>
          <w:sz w:val="24"/>
          <w:szCs w:val="24"/>
        </w:rPr>
        <w:t>加热板表面温度均匀度：</w:t>
      </w:r>
      <w:r w:rsidRPr="00140DCD">
        <w:rPr>
          <w:rFonts w:ascii="Times New Roman" w:eastAsia="宋体" w:hAnsi="Times New Roman" w:cs="Times New Roman"/>
          <w:sz w:val="24"/>
          <w:szCs w:val="24"/>
        </w:rPr>
        <w:t>99%</w:t>
      </w:r>
      <w:r w:rsidRPr="00140DCD">
        <w:rPr>
          <w:rFonts w:ascii="Times New Roman" w:eastAsia="宋体" w:hAnsi="Times New Roman" w:cs="Times New Roman"/>
          <w:sz w:val="24"/>
          <w:szCs w:val="24"/>
        </w:rPr>
        <w:t>，保证在加热板上的所有位置的试剂加热温度相同</w:t>
      </w:r>
      <w:r w:rsidR="00140DCD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D9389A" w:rsidRPr="00140DCD" w:rsidRDefault="007F6655" w:rsidP="00140DC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40DCD">
        <w:rPr>
          <w:rFonts w:ascii="Times New Roman" w:eastAsia="宋体" w:hAnsi="Times New Roman" w:cs="Times New Roman"/>
          <w:sz w:val="24"/>
          <w:szCs w:val="24"/>
        </w:rPr>
        <w:t>保护措施：</w:t>
      </w:r>
      <w:r w:rsidRPr="00140DCD">
        <w:rPr>
          <w:rFonts w:ascii="Times New Roman" w:eastAsia="宋体" w:hAnsi="Times New Roman" w:cs="Times New Roman" w:hint="eastAsia"/>
          <w:sz w:val="24"/>
          <w:szCs w:val="24"/>
        </w:rPr>
        <w:t>PTFE</w:t>
      </w:r>
      <w:r w:rsidRPr="00140DCD">
        <w:rPr>
          <w:rFonts w:ascii="Times New Roman" w:eastAsia="宋体" w:hAnsi="Times New Roman" w:cs="Times New Roman" w:hint="eastAsia"/>
          <w:sz w:val="24"/>
          <w:szCs w:val="24"/>
        </w:rPr>
        <w:t>材质边缘保护，底部防热保护一体设计</w:t>
      </w:r>
      <w:r w:rsidR="00140DCD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D9389A" w:rsidRPr="00140DCD" w:rsidRDefault="007F6655" w:rsidP="00140DC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40DCD">
        <w:rPr>
          <w:rFonts w:ascii="Times New Roman" w:eastAsia="宋体" w:hAnsi="Times New Roman" w:cs="Times New Roman"/>
          <w:sz w:val="24"/>
          <w:szCs w:val="24"/>
        </w:rPr>
        <w:t>加热装置：设定温度范围</w:t>
      </w:r>
      <w:r w:rsidRPr="00140DCD">
        <w:rPr>
          <w:rFonts w:ascii="Times New Roman" w:eastAsia="宋体" w:hAnsi="Times New Roman" w:cs="Times New Roman"/>
          <w:sz w:val="24"/>
          <w:szCs w:val="24"/>
        </w:rPr>
        <w:t>0-250</w:t>
      </w:r>
      <w:r w:rsidRPr="00140DCD">
        <w:rPr>
          <w:rFonts w:ascii="Times New Roman" w:eastAsia="宋体" w:hAnsi="Times New Roman" w:cs="Times New Roman"/>
          <w:sz w:val="24"/>
          <w:szCs w:val="24"/>
        </w:rPr>
        <w:t>度，</w:t>
      </w:r>
      <w:r w:rsidRPr="00140DCD">
        <w:rPr>
          <w:rFonts w:ascii="Times New Roman" w:eastAsia="宋体" w:hAnsi="Times New Roman" w:cs="Times New Roman" w:hint="eastAsia"/>
          <w:sz w:val="24"/>
          <w:szCs w:val="24"/>
        </w:rPr>
        <w:t>内置</w:t>
      </w:r>
      <w:r w:rsidRPr="00140DCD">
        <w:rPr>
          <w:rFonts w:ascii="Times New Roman" w:eastAsia="宋体" w:hAnsi="Times New Roman" w:cs="Times New Roman"/>
          <w:sz w:val="24"/>
          <w:szCs w:val="24"/>
        </w:rPr>
        <w:t>计时器</w:t>
      </w:r>
      <w:r w:rsidRPr="00140DCD">
        <w:rPr>
          <w:rFonts w:ascii="Times New Roman" w:eastAsia="宋体" w:hAnsi="Times New Roman" w:cs="Times New Roman" w:hint="eastAsia"/>
          <w:sz w:val="24"/>
          <w:szCs w:val="24"/>
        </w:rPr>
        <w:t>，过热保护</w:t>
      </w:r>
      <w:r w:rsidR="00140DCD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D9389A" w:rsidRPr="00140DCD" w:rsidRDefault="007F6655" w:rsidP="00140DC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40DCD">
        <w:rPr>
          <w:rFonts w:ascii="Times New Roman" w:eastAsia="宋体" w:hAnsi="Times New Roman" w:cs="Times New Roman"/>
          <w:sz w:val="24"/>
          <w:szCs w:val="24"/>
        </w:rPr>
        <w:t>加热元件放置在防水的空腔中，不会被试剂侵入，适合痕量和超痕量分析</w:t>
      </w:r>
      <w:r w:rsidR="00140DCD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D9389A" w:rsidRPr="00140DCD" w:rsidRDefault="007F6655" w:rsidP="00140DC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40DCD">
        <w:rPr>
          <w:rFonts w:ascii="Times New Roman" w:eastAsia="宋体" w:hAnsi="Times New Roman" w:cs="Times New Roman"/>
          <w:sz w:val="24"/>
          <w:szCs w:val="24"/>
        </w:rPr>
        <w:t>温度控制器</w:t>
      </w:r>
      <w:r w:rsidRPr="00140DCD">
        <w:rPr>
          <w:rFonts w:ascii="Times New Roman" w:eastAsia="宋体" w:hAnsi="Times New Roman" w:cs="Times New Roman"/>
          <w:sz w:val="24"/>
          <w:szCs w:val="24"/>
        </w:rPr>
        <w:t>4</w:t>
      </w:r>
      <w:r w:rsidRPr="00140DCD">
        <w:rPr>
          <w:rFonts w:ascii="Times New Roman" w:eastAsia="宋体" w:hAnsi="Times New Roman" w:cs="Times New Roman"/>
          <w:sz w:val="24"/>
          <w:szCs w:val="24"/>
        </w:rPr>
        <w:t>个电子和物理安全保险丝的安全设计可以密集使用</w:t>
      </w:r>
      <w:r w:rsidR="00140DCD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D9389A" w:rsidRPr="00140DCD" w:rsidRDefault="00BB7199" w:rsidP="00140DC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※</w:t>
      </w:r>
      <w:r w:rsidR="007F6655" w:rsidRPr="00140DCD">
        <w:rPr>
          <w:rFonts w:ascii="Times New Roman" w:eastAsia="宋体" w:hAnsi="Times New Roman" w:cs="Times New Roman" w:hint="eastAsia"/>
          <w:b/>
          <w:sz w:val="24"/>
          <w:szCs w:val="24"/>
        </w:rPr>
        <w:t>认证证书：通过</w:t>
      </w:r>
      <w:r w:rsidR="007F6655" w:rsidRPr="00140DCD">
        <w:rPr>
          <w:rFonts w:ascii="Times New Roman" w:eastAsia="宋体" w:hAnsi="Times New Roman" w:cs="Times New Roman" w:hint="eastAsia"/>
          <w:b/>
          <w:sz w:val="24"/>
          <w:szCs w:val="24"/>
        </w:rPr>
        <w:t>CE</w:t>
      </w:r>
      <w:r w:rsidR="007F6655" w:rsidRPr="00140DCD">
        <w:rPr>
          <w:rFonts w:ascii="Times New Roman" w:eastAsia="宋体" w:hAnsi="Times New Roman" w:cs="Times New Roman" w:hint="eastAsia"/>
          <w:b/>
          <w:sz w:val="24"/>
          <w:szCs w:val="24"/>
        </w:rPr>
        <w:t>和</w:t>
      </w:r>
      <w:r w:rsidR="007F6655" w:rsidRPr="00140DCD">
        <w:rPr>
          <w:rFonts w:ascii="Times New Roman" w:eastAsia="宋体" w:hAnsi="Times New Roman" w:cs="Times New Roman" w:hint="eastAsia"/>
          <w:b/>
          <w:sz w:val="24"/>
          <w:szCs w:val="24"/>
        </w:rPr>
        <w:t>RoHS</w:t>
      </w:r>
      <w:r w:rsidR="007F6655" w:rsidRPr="00140DCD">
        <w:rPr>
          <w:rFonts w:ascii="Times New Roman" w:eastAsia="宋体" w:hAnsi="Times New Roman" w:cs="Times New Roman" w:hint="eastAsia"/>
          <w:b/>
          <w:sz w:val="24"/>
          <w:szCs w:val="24"/>
        </w:rPr>
        <w:t>认证</w:t>
      </w:r>
      <w:r w:rsidR="00020445">
        <w:rPr>
          <w:rFonts w:ascii="Times New Roman" w:eastAsia="宋体" w:hAnsi="Times New Roman" w:cs="Times New Roman" w:hint="eastAsia"/>
          <w:b/>
          <w:sz w:val="24"/>
          <w:szCs w:val="24"/>
        </w:rPr>
        <w:t>（须提供相应证书）</w:t>
      </w:r>
      <w:r w:rsidR="00140DCD" w:rsidRPr="00140DCD">
        <w:rPr>
          <w:rFonts w:ascii="Times New Roman" w:eastAsia="宋体" w:hAnsi="Times New Roman" w:cs="Times New Roman" w:hint="eastAsia"/>
          <w:b/>
          <w:sz w:val="24"/>
          <w:szCs w:val="24"/>
        </w:rPr>
        <w:t>；</w:t>
      </w:r>
    </w:p>
    <w:p w:rsidR="00D9389A" w:rsidRPr="00140DCD" w:rsidRDefault="00BB7199" w:rsidP="00140DC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※</w:t>
      </w:r>
      <w:r w:rsidR="00140DCD">
        <w:rPr>
          <w:rFonts w:ascii="Times New Roman" w:eastAsia="宋体" w:hAnsi="Times New Roman" w:cs="Times New Roman" w:hint="eastAsia"/>
          <w:b/>
          <w:sz w:val="24"/>
          <w:szCs w:val="24"/>
        </w:rPr>
        <w:t>供应商</w:t>
      </w:r>
      <w:r w:rsidR="007F6655" w:rsidRPr="00140DCD">
        <w:rPr>
          <w:rFonts w:ascii="Times New Roman" w:eastAsia="宋体" w:hAnsi="Times New Roman" w:cs="Times New Roman" w:hint="eastAsia"/>
          <w:b/>
          <w:sz w:val="24"/>
          <w:szCs w:val="24"/>
        </w:rPr>
        <w:t>需提供厂家的授权书和原厂售后</w:t>
      </w:r>
      <w:r w:rsidR="00140DCD" w:rsidRPr="00140DCD">
        <w:rPr>
          <w:rFonts w:ascii="Times New Roman" w:eastAsia="宋体" w:hAnsi="Times New Roman" w:cs="Times New Roman" w:hint="eastAsia"/>
          <w:b/>
          <w:sz w:val="24"/>
          <w:szCs w:val="24"/>
        </w:rPr>
        <w:t>；</w:t>
      </w:r>
    </w:p>
    <w:p w:rsidR="00D9389A" w:rsidRPr="00AE1A5D" w:rsidRDefault="00757EA2" w:rsidP="00BC768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AE1A5D">
        <w:rPr>
          <w:rFonts w:ascii="Times New Roman" w:eastAsia="宋体" w:hAnsi="Times New Roman" w:cs="Times New Roman" w:hint="eastAsia"/>
          <w:b/>
          <w:sz w:val="24"/>
          <w:szCs w:val="24"/>
        </w:rPr>
        <w:t>合同签订前甲方可视情况增加相应的检测</w:t>
      </w:r>
      <w:r w:rsidR="00AE1A5D" w:rsidRPr="00AE1A5D">
        <w:rPr>
          <w:rFonts w:ascii="Times New Roman" w:eastAsia="宋体" w:hAnsi="Times New Roman" w:cs="Times New Roman" w:hint="eastAsia"/>
          <w:b/>
          <w:sz w:val="24"/>
          <w:szCs w:val="24"/>
        </w:rPr>
        <w:t>或测试</w:t>
      </w:r>
      <w:r w:rsidRPr="00AE1A5D">
        <w:rPr>
          <w:rFonts w:ascii="Times New Roman" w:eastAsia="宋体" w:hAnsi="Times New Roman" w:cs="Times New Roman" w:hint="eastAsia"/>
          <w:b/>
          <w:sz w:val="24"/>
          <w:szCs w:val="24"/>
        </w:rPr>
        <w:t>或要求提供相应技术指标权威机构的检测报告。</w:t>
      </w:r>
    </w:p>
    <w:p w:rsidR="00D9389A" w:rsidRPr="00140DCD" w:rsidRDefault="007F6655" w:rsidP="00140DCD">
      <w:pPr>
        <w:widowControl/>
        <w:numPr>
          <w:ilvl w:val="0"/>
          <w:numId w:val="1"/>
        </w:numPr>
        <w:spacing w:afterLines="50" w:after="120" w:line="440" w:lineRule="exact"/>
        <w:ind w:left="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40DCD">
        <w:rPr>
          <w:rFonts w:ascii="Times New Roman" w:eastAsia="宋体" w:hAnsi="Times New Roman" w:cs="Times New Roman" w:hint="eastAsia"/>
          <w:sz w:val="24"/>
          <w:szCs w:val="24"/>
        </w:rPr>
        <w:t>提供如下产品（购置清单）：</w:t>
      </w:r>
      <w:bookmarkStart w:id="0" w:name="_GoBack"/>
      <w:bookmarkEnd w:id="0"/>
    </w:p>
    <w:tbl>
      <w:tblPr>
        <w:tblpPr w:leftFromText="180" w:rightFromText="180" w:vertAnchor="text" w:horzAnchor="margin" w:tblpY="1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4252"/>
        <w:gridCol w:w="1825"/>
        <w:gridCol w:w="1343"/>
      </w:tblGrid>
      <w:tr w:rsidR="00D9389A" w:rsidRPr="00140DCD" w:rsidTr="005A1B83">
        <w:trPr>
          <w:trHeight w:val="557"/>
        </w:trPr>
        <w:tc>
          <w:tcPr>
            <w:tcW w:w="646" w:type="pct"/>
            <w:vAlign w:val="center"/>
          </w:tcPr>
          <w:p w:rsidR="00D9389A" w:rsidRPr="00140DCD" w:rsidRDefault="007F6655" w:rsidP="005A1B83">
            <w:pPr>
              <w:spacing w:after="0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140DCD">
              <w:rPr>
                <w:rFonts w:asciiTheme="minorEastAsia" w:hAnsiTheme="minorEastAsia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2495" w:type="pct"/>
            <w:vAlign w:val="center"/>
          </w:tcPr>
          <w:p w:rsidR="00D9389A" w:rsidRPr="00140DCD" w:rsidRDefault="007F6655" w:rsidP="005A1B83">
            <w:pPr>
              <w:spacing w:after="0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140DCD">
              <w:rPr>
                <w:rFonts w:asciiTheme="minorEastAsia" w:hAnsiTheme="minorEastAsia" w:cs="Times New Roman"/>
                <w:b/>
                <w:sz w:val="24"/>
                <w:szCs w:val="21"/>
              </w:rPr>
              <w:t>描述</w:t>
            </w:r>
          </w:p>
        </w:tc>
        <w:tc>
          <w:tcPr>
            <w:tcW w:w="1071" w:type="pct"/>
            <w:vAlign w:val="center"/>
          </w:tcPr>
          <w:p w:rsidR="00D9389A" w:rsidRPr="00140DCD" w:rsidRDefault="007F6655" w:rsidP="005A1B83">
            <w:pPr>
              <w:spacing w:after="0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140DCD">
              <w:rPr>
                <w:rFonts w:asciiTheme="minorEastAsia" w:hAnsiTheme="minorEastAsia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88" w:type="pct"/>
            <w:vAlign w:val="center"/>
          </w:tcPr>
          <w:p w:rsidR="00D9389A" w:rsidRPr="00140DCD" w:rsidRDefault="007F6655" w:rsidP="005A1B83">
            <w:pPr>
              <w:spacing w:after="0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140DCD">
              <w:rPr>
                <w:rFonts w:asciiTheme="minorEastAsia" w:hAnsiTheme="minorEastAsia" w:cs="Times New Roman"/>
                <w:b/>
                <w:sz w:val="24"/>
                <w:szCs w:val="21"/>
              </w:rPr>
              <w:t>数量</w:t>
            </w:r>
          </w:p>
        </w:tc>
      </w:tr>
      <w:tr w:rsidR="00D9389A" w:rsidRPr="00140DCD" w:rsidTr="005A1B83">
        <w:trPr>
          <w:trHeight w:val="985"/>
        </w:trPr>
        <w:tc>
          <w:tcPr>
            <w:tcW w:w="646" w:type="pct"/>
            <w:vAlign w:val="center"/>
          </w:tcPr>
          <w:p w:rsidR="00D9389A" w:rsidRPr="00140DCD" w:rsidRDefault="007F6655" w:rsidP="005A1B83">
            <w:pPr>
              <w:spacing w:after="0"/>
              <w:jc w:val="center"/>
              <w:rPr>
                <w:rFonts w:asciiTheme="minorEastAsia" w:hAnsiTheme="minorEastAsia" w:cs="Times New Roman"/>
                <w:kern w:val="2"/>
                <w:sz w:val="24"/>
              </w:rPr>
            </w:pPr>
            <w:r w:rsidRPr="00140DCD">
              <w:rPr>
                <w:rFonts w:asciiTheme="minorEastAsia" w:hAnsiTheme="minorEastAsia" w:cs="Times New Roman"/>
                <w:sz w:val="24"/>
                <w:szCs w:val="21"/>
              </w:rPr>
              <w:t>1</w:t>
            </w:r>
          </w:p>
        </w:tc>
        <w:tc>
          <w:tcPr>
            <w:tcW w:w="2495" w:type="pct"/>
            <w:vAlign w:val="center"/>
          </w:tcPr>
          <w:p w:rsidR="00D9389A" w:rsidRPr="00140DCD" w:rsidRDefault="007F6655" w:rsidP="005A1B83">
            <w:pPr>
              <w:spacing w:after="0"/>
              <w:rPr>
                <w:rFonts w:asciiTheme="minorEastAsia" w:hAnsiTheme="minorEastAsia" w:cs="Times New Roman"/>
                <w:kern w:val="2"/>
                <w:sz w:val="24"/>
              </w:rPr>
            </w:pPr>
            <w:r w:rsidRPr="00140DCD">
              <w:rPr>
                <w:rFonts w:asciiTheme="minorEastAsia" w:hAnsiTheme="minorEastAsia" w:cs="Times New Roman"/>
                <w:sz w:val="24"/>
                <w:szCs w:val="21"/>
              </w:rPr>
              <w:t>加热板尺寸：420x330x45MM，不带挡边，台面及侧边放热保护，定时控制器，电源线（16A）-</w:t>
            </w:r>
          </w:p>
        </w:tc>
        <w:tc>
          <w:tcPr>
            <w:tcW w:w="1071" w:type="pct"/>
            <w:vAlign w:val="center"/>
          </w:tcPr>
          <w:p w:rsidR="00D9389A" w:rsidRPr="00140DCD" w:rsidRDefault="007F6655" w:rsidP="005A1B83">
            <w:pPr>
              <w:spacing w:after="0"/>
              <w:jc w:val="center"/>
              <w:rPr>
                <w:rFonts w:asciiTheme="minorEastAsia" w:hAnsiTheme="minorEastAsia" w:cs="Times New Roman"/>
                <w:kern w:val="2"/>
                <w:sz w:val="24"/>
              </w:rPr>
            </w:pPr>
            <w:r w:rsidRPr="00140DCD">
              <w:rPr>
                <w:rFonts w:asciiTheme="minorEastAsia" w:hAnsiTheme="minorEastAsia" w:cs="Times New Roman"/>
                <w:sz w:val="24"/>
                <w:szCs w:val="21"/>
              </w:rPr>
              <w:t>套</w:t>
            </w:r>
          </w:p>
        </w:tc>
        <w:tc>
          <w:tcPr>
            <w:tcW w:w="788" w:type="pct"/>
            <w:vAlign w:val="center"/>
          </w:tcPr>
          <w:p w:rsidR="00D9389A" w:rsidRPr="00140DCD" w:rsidRDefault="007F6655" w:rsidP="005A1B83">
            <w:pPr>
              <w:spacing w:after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140DCD">
              <w:rPr>
                <w:rFonts w:asciiTheme="minorEastAsia" w:hAnsiTheme="minorEastAsia" w:cs="Times New Roman"/>
                <w:sz w:val="24"/>
                <w:szCs w:val="21"/>
              </w:rPr>
              <w:t>4</w:t>
            </w:r>
          </w:p>
        </w:tc>
      </w:tr>
      <w:tr w:rsidR="00D9389A" w:rsidRPr="00140DCD" w:rsidTr="005A1B83">
        <w:trPr>
          <w:trHeight w:val="647"/>
        </w:trPr>
        <w:tc>
          <w:tcPr>
            <w:tcW w:w="646" w:type="pct"/>
            <w:vAlign w:val="center"/>
          </w:tcPr>
          <w:p w:rsidR="00D9389A" w:rsidRPr="00140DCD" w:rsidRDefault="007F6655" w:rsidP="005A1B83">
            <w:pPr>
              <w:spacing w:after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140DCD">
              <w:rPr>
                <w:rFonts w:asciiTheme="minorEastAsia" w:hAnsiTheme="minorEastAsia" w:cs="Times New Roman"/>
                <w:sz w:val="24"/>
                <w:szCs w:val="21"/>
              </w:rPr>
              <w:t>2</w:t>
            </w:r>
          </w:p>
        </w:tc>
        <w:tc>
          <w:tcPr>
            <w:tcW w:w="2495" w:type="pct"/>
            <w:vAlign w:val="center"/>
          </w:tcPr>
          <w:p w:rsidR="00D9389A" w:rsidRPr="00140DCD" w:rsidRDefault="007F6655" w:rsidP="005A1B83">
            <w:pPr>
              <w:spacing w:after="0"/>
              <w:rPr>
                <w:rFonts w:asciiTheme="minorEastAsia" w:hAnsiTheme="minorEastAsia" w:cs="Times New Roman"/>
                <w:sz w:val="24"/>
              </w:rPr>
            </w:pPr>
            <w:r w:rsidRPr="00140DCD">
              <w:rPr>
                <w:rFonts w:asciiTheme="minorEastAsia" w:hAnsiTheme="minorEastAsia" w:cs="Times New Roman"/>
                <w:sz w:val="24"/>
                <w:szCs w:val="21"/>
              </w:rPr>
              <w:t>石墨架子(适用于7ml消解罐)面积A4，孔径21.5mm,孔高22mm，40孔</w:t>
            </w:r>
          </w:p>
        </w:tc>
        <w:tc>
          <w:tcPr>
            <w:tcW w:w="1071" w:type="pct"/>
            <w:vAlign w:val="center"/>
          </w:tcPr>
          <w:p w:rsidR="00D9389A" w:rsidRPr="00140DCD" w:rsidRDefault="007F6655" w:rsidP="005A1B83">
            <w:pPr>
              <w:spacing w:after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140DCD">
              <w:rPr>
                <w:rFonts w:asciiTheme="minorEastAsia" w:hAnsiTheme="minorEastAsia" w:cs="Times New Roman"/>
                <w:sz w:val="24"/>
                <w:szCs w:val="21"/>
              </w:rPr>
              <w:t>块</w:t>
            </w:r>
          </w:p>
        </w:tc>
        <w:tc>
          <w:tcPr>
            <w:tcW w:w="788" w:type="pct"/>
            <w:vAlign w:val="center"/>
          </w:tcPr>
          <w:p w:rsidR="00D9389A" w:rsidRPr="00140DCD" w:rsidRDefault="007F6655" w:rsidP="005A1B83">
            <w:pPr>
              <w:spacing w:after="0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140DCD">
              <w:rPr>
                <w:rFonts w:asciiTheme="minorEastAsia" w:hAnsiTheme="minorEastAsia" w:cs="Times New Roman"/>
                <w:sz w:val="24"/>
                <w:szCs w:val="21"/>
              </w:rPr>
              <w:t>2</w:t>
            </w:r>
          </w:p>
        </w:tc>
      </w:tr>
    </w:tbl>
    <w:p w:rsidR="00D9389A" w:rsidRDefault="00D9389A" w:rsidP="005A1B83">
      <w:pPr>
        <w:rPr>
          <w:rFonts w:ascii="Times New Roman" w:hAnsi="Times New Roman" w:cs="Times New Roman" w:hint="eastAsia"/>
        </w:rPr>
      </w:pPr>
    </w:p>
    <w:sectPr w:rsidR="00D9389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392" w:rsidRDefault="00D06392">
      <w:pPr>
        <w:spacing w:line="240" w:lineRule="auto"/>
      </w:pPr>
      <w:r>
        <w:separator/>
      </w:r>
    </w:p>
  </w:endnote>
  <w:endnote w:type="continuationSeparator" w:id="0">
    <w:p w:rsidR="00D06392" w:rsidRDefault="00D0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3661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A1B83" w:rsidRDefault="005A1B83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1B83" w:rsidRDefault="005A1B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392" w:rsidRDefault="00D06392">
      <w:pPr>
        <w:spacing w:after="0"/>
      </w:pPr>
      <w:r>
        <w:separator/>
      </w:r>
    </w:p>
  </w:footnote>
  <w:footnote w:type="continuationSeparator" w:id="0">
    <w:p w:rsidR="00D06392" w:rsidRDefault="00D06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FA" w:rsidRDefault="009B0CFA" w:rsidP="009B0CFA">
    <w:pPr>
      <w:pStyle w:val="a5"/>
    </w:pPr>
    <w:r>
      <w:rPr>
        <w:rFonts w:hint="eastAsia"/>
      </w:rPr>
      <w:t>附件</w:t>
    </w:r>
    <w:r>
      <w:rPr>
        <w:rFonts w:hint="eastAsia"/>
      </w:rP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EA2"/>
    <w:multiLevelType w:val="multilevel"/>
    <w:tmpl w:val="FFDA11BC"/>
    <w:lvl w:ilvl="0">
      <w:start w:val="1"/>
      <w:numFmt w:val="decimal"/>
      <w:suff w:val="nothing"/>
      <w:lvlText w:val="%1、"/>
      <w:lvlJc w:val="left"/>
      <w:pPr>
        <w:ind w:left="31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9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1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5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7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9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1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3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mY4MWJkN2M3MzFmODI5ZjYxMjdhMWIxNTU1M2YifQ=="/>
  </w:docVars>
  <w:rsids>
    <w:rsidRoot w:val="009702A5"/>
    <w:rsid w:val="00020445"/>
    <w:rsid w:val="00065346"/>
    <w:rsid w:val="000C7C25"/>
    <w:rsid w:val="001113DC"/>
    <w:rsid w:val="00140DCD"/>
    <w:rsid w:val="00167ACC"/>
    <w:rsid w:val="00206555"/>
    <w:rsid w:val="00217F57"/>
    <w:rsid w:val="002A1852"/>
    <w:rsid w:val="00403904"/>
    <w:rsid w:val="00404296"/>
    <w:rsid w:val="00406422"/>
    <w:rsid w:val="00417148"/>
    <w:rsid w:val="00460CAB"/>
    <w:rsid w:val="004C58FA"/>
    <w:rsid w:val="0052078A"/>
    <w:rsid w:val="005705E8"/>
    <w:rsid w:val="005A0C95"/>
    <w:rsid w:val="005A1B83"/>
    <w:rsid w:val="005E316B"/>
    <w:rsid w:val="005E495D"/>
    <w:rsid w:val="005E7539"/>
    <w:rsid w:val="006A3AA2"/>
    <w:rsid w:val="006D498D"/>
    <w:rsid w:val="0071563F"/>
    <w:rsid w:val="00757EA2"/>
    <w:rsid w:val="00782DB4"/>
    <w:rsid w:val="007B52BC"/>
    <w:rsid w:val="007C09DC"/>
    <w:rsid w:val="007C2D41"/>
    <w:rsid w:val="007F6655"/>
    <w:rsid w:val="00881CDC"/>
    <w:rsid w:val="008C65C7"/>
    <w:rsid w:val="00954CD0"/>
    <w:rsid w:val="009702A5"/>
    <w:rsid w:val="009B0CFA"/>
    <w:rsid w:val="00AC22BD"/>
    <w:rsid w:val="00AE1A5D"/>
    <w:rsid w:val="00B3470E"/>
    <w:rsid w:val="00BA049E"/>
    <w:rsid w:val="00BB0C68"/>
    <w:rsid w:val="00BB7199"/>
    <w:rsid w:val="00BC768D"/>
    <w:rsid w:val="00BD7570"/>
    <w:rsid w:val="00C31173"/>
    <w:rsid w:val="00CD6297"/>
    <w:rsid w:val="00CF2472"/>
    <w:rsid w:val="00D06392"/>
    <w:rsid w:val="00D4134C"/>
    <w:rsid w:val="00D61AA2"/>
    <w:rsid w:val="00D9389A"/>
    <w:rsid w:val="00DE6DEA"/>
    <w:rsid w:val="00E41B29"/>
    <w:rsid w:val="00E87B81"/>
    <w:rsid w:val="00ED47A0"/>
    <w:rsid w:val="00F93C2E"/>
    <w:rsid w:val="74B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2A8BA"/>
  <w15:docId w15:val="{8C96FE56-C6B8-44EE-B63D-DA3DBB8D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after="0" w:line="240" w:lineRule="auto"/>
      <w:jc w:val="left"/>
      <w:textAlignment w:val="baseline"/>
    </w:pPr>
    <w:rPr>
      <w:rFonts w:ascii="宋体" w:eastAsia="宋体" w:hAnsi="宋体" w:cs="宋体"/>
      <w:snapToGrid w:val="0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1B83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A1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zhich</dc:creator>
  <cp:lastModifiedBy>NTKO</cp:lastModifiedBy>
  <cp:revision>132</cp:revision>
  <cp:lastPrinted>2023-11-30T07:34:00Z</cp:lastPrinted>
  <dcterms:created xsi:type="dcterms:W3CDTF">2023-11-24T09:39:00Z</dcterms:created>
  <dcterms:modified xsi:type="dcterms:W3CDTF">2023-11-30T07:34:00Z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B34DD111E06D47E6820F2A4F0F5962F7_13</vt:lpwstr>
  </property>
</Properties>
</file>